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538D" w14:textId="72B13685" w:rsidR="006A2A86" w:rsidRDefault="006A2A86" w:rsidP="006A2A86">
      <w:pPr>
        <w:jc w:val="both"/>
        <w:rPr>
          <w:rFonts w:ascii="Nunito" w:eastAsia="Times New Roman" w:hAnsi="Nunito" w:cs="Noto Sans"/>
          <w:b/>
          <w:bCs/>
          <w:sz w:val="26"/>
          <w:szCs w:val="26"/>
          <w:lang w:eastAsia="en-GB"/>
        </w:rPr>
      </w:pPr>
      <w:r w:rsidRPr="009A64C9">
        <w:rPr>
          <w:rFonts w:ascii="Nunito" w:eastAsia="Times New Roman" w:hAnsi="Nunito" w:cs="Noto Sans"/>
          <w:b/>
          <w:bCs/>
          <w:sz w:val="26"/>
          <w:szCs w:val="26"/>
          <w:lang w:eastAsia="en-GB"/>
        </w:rPr>
        <w:t xml:space="preserve">Appendix </w:t>
      </w:r>
      <w:r w:rsidR="009A64C9" w:rsidRPr="009A64C9">
        <w:rPr>
          <w:rFonts w:ascii="Nunito" w:eastAsia="Times New Roman" w:hAnsi="Nunito" w:cs="Noto Sans"/>
          <w:b/>
          <w:bCs/>
          <w:sz w:val="26"/>
          <w:szCs w:val="26"/>
          <w:lang w:eastAsia="en-GB"/>
        </w:rPr>
        <w:t>3</w:t>
      </w:r>
      <w:r w:rsidRPr="009A64C9">
        <w:rPr>
          <w:rFonts w:ascii="Nunito" w:eastAsia="Times New Roman" w:hAnsi="Nunito" w:cs="Noto Sans"/>
          <w:b/>
          <w:bCs/>
          <w:sz w:val="26"/>
          <w:szCs w:val="26"/>
          <w:lang w:eastAsia="en-GB"/>
        </w:rPr>
        <w:t xml:space="preserve">: Risks associated with the next stages of the Oxfordshire Plan </w:t>
      </w:r>
    </w:p>
    <w:p w14:paraId="13857C43" w14:textId="77777777" w:rsidR="009A64C9" w:rsidRPr="002A2BE1" w:rsidRDefault="009A64C9" w:rsidP="006A2A86">
      <w:pPr>
        <w:jc w:val="both"/>
        <w:rPr>
          <w:rFonts w:ascii="Nunito" w:eastAsia="Times New Roman" w:hAnsi="Nunito" w:cs="Noto Sans"/>
          <w:b/>
          <w:bCs/>
          <w:sz w:val="20"/>
          <w:szCs w:val="20"/>
          <w:lang w:eastAsia="en-GB"/>
        </w:rPr>
      </w:pPr>
    </w:p>
    <w:tbl>
      <w:tblPr>
        <w:tblStyle w:val="TableGrid1"/>
        <w:tblW w:w="9949" w:type="dxa"/>
        <w:tblLook w:val="04A0" w:firstRow="1" w:lastRow="0" w:firstColumn="1" w:lastColumn="0" w:noHBand="0" w:noVBand="1"/>
      </w:tblPr>
      <w:tblGrid>
        <w:gridCol w:w="2122"/>
        <w:gridCol w:w="3260"/>
        <w:gridCol w:w="1067"/>
        <w:gridCol w:w="3500"/>
      </w:tblGrid>
      <w:tr w:rsidR="009A64C9" w:rsidRPr="009A64C9" w14:paraId="34ED7708" w14:textId="77777777" w:rsidTr="00891D70">
        <w:trPr>
          <w:trHeight w:val="367"/>
        </w:trPr>
        <w:tc>
          <w:tcPr>
            <w:tcW w:w="2122" w:type="dxa"/>
            <w:shd w:val="clear" w:color="auto" w:fill="95B3D7" w:themeFill="accent1" w:themeFillTint="99"/>
          </w:tcPr>
          <w:p w14:paraId="4BD8EA64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lang w:eastAsia="en-GB"/>
              </w:rPr>
              <w:t xml:space="preserve">Issue 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5BA4D193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lang w:eastAsia="en-GB"/>
              </w:rPr>
              <w:t xml:space="preserve">Impact </w:t>
            </w:r>
          </w:p>
        </w:tc>
        <w:tc>
          <w:tcPr>
            <w:tcW w:w="1067" w:type="dxa"/>
            <w:shd w:val="clear" w:color="auto" w:fill="95B3D7" w:themeFill="accent1" w:themeFillTint="99"/>
          </w:tcPr>
          <w:p w14:paraId="5D08DDAD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lang w:eastAsia="en-GB"/>
              </w:rPr>
              <w:t>Level of risk</w:t>
            </w:r>
          </w:p>
        </w:tc>
        <w:tc>
          <w:tcPr>
            <w:tcW w:w="3500" w:type="dxa"/>
            <w:shd w:val="clear" w:color="auto" w:fill="95B3D7" w:themeFill="accent1" w:themeFillTint="99"/>
          </w:tcPr>
          <w:p w14:paraId="382D178E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lang w:eastAsia="en-GB"/>
              </w:rPr>
              <w:t xml:space="preserve">Mitigation </w:t>
            </w:r>
          </w:p>
        </w:tc>
      </w:tr>
      <w:tr w:rsidR="009A64C9" w:rsidRPr="009A64C9" w14:paraId="2003481B" w14:textId="77777777" w:rsidTr="00891D70">
        <w:tc>
          <w:tcPr>
            <w:tcW w:w="2122" w:type="dxa"/>
            <w:shd w:val="clear" w:color="auto" w:fill="FFFFFF" w:themeFill="background1"/>
          </w:tcPr>
          <w:p w14:paraId="14FC3C95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>Further changes to national planning policy and guidance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2BACEF54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Could require an early review of the plan  </w:t>
            </w:r>
          </w:p>
          <w:p w14:paraId="24664322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Uncertainty over role, status and timing of the Cambridge Oxford Arc Spatial Framework </w:t>
            </w:r>
          </w:p>
          <w:p w14:paraId="022A2C1F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Consistency with national planning policy is a soundness test (Oxfordshire may be required to meet unmet needs from neighbouring authorities)  </w:t>
            </w:r>
          </w:p>
        </w:tc>
        <w:tc>
          <w:tcPr>
            <w:tcW w:w="1067" w:type="dxa"/>
            <w:shd w:val="clear" w:color="auto" w:fill="FFFFFF" w:themeFill="background1"/>
          </w:tcPr>
          <w:p w14:paraId="26EB60A7" w14:textId="77777777" w:rsidR="006A2A86" w:rsidRPr="009A64C9" w:rsidRDefault="006A2A86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High </w:t>
            </w:r>
          </w:p>
        </w:tc>
        <w:tc>
          <w:tcPr>
            <w:tcW w:w="3500" w:type="dxa"/>
            <w:shd w:val="clear" w:color="auto" w:fill="FFFFFF" w:themeFill="background1"/>
          </w:tcPr>
          <w:p w14:paraId="2EE7B3C6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Agree on transitional arrangements  </w:t>
            </w:r>
          </w:p>
          <w:p w14:paraId="09E879E4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Written agreement about the consistency of the plan with the spatial framework </w:t>
            </w:r>
          </w:p>
          <w:p w14:paraId="3698D3D4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Undertake self-soundness test.</w:t>
            </w:r>
          </w:p>
        </w:tc>
      </w:tr>
      <w:tr w:rsidR="000C7F46" w:rsidRPr="009A64C9" w14:paraId="5892CBBC" w14:textId="77777777" w:rsidTr="00891D70">
        <w:tc>
          <w:tcPr>
            <w:tcW w:w="2122" w:type="dxa"/>
            <w:shd w:val="clear" w:color="auto" w:fill="FFFFFF" w:themeFill="background1"/>
          </w:tcPr>
          <w:p w14:paraId="568287D3" w14:textId="2A830A76" w:rsidR="000C7F46" w:rsidRPr="009A64C9" w:rsidRDefault="000C7F4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Ensuring close alignment </w:t>
            </w:r>
            <w:r w:rsidR="00652F9E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and integration </w:t>
            </w:r>
            <w: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>with Local Plan reviews</w:t>
            </w:r>
          </w:p>
        </w:tc>
        <w:tc>
          <w:tcPr>
            <w:tcW w:w="3260" w:type="dxa"/>
            <w:shd w:val="clear" w:color="auto" w:fill="FFFFFF" w:themeFill="background1"/>
          </w:tcPr>
          <w:p w14:paraId="3D159FB1" w14:textId="31BE74F8" w:rsidR="009B39F2" w:rsidRDefault="00FC5432" w:rsidP="00222B0E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Conformity issue - t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he Oxfordshire Plan needs to be </w:t>
            </w:r>
            <w:r w:rsidR="00FE260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produced in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 timely manner to help inform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and</w:t>
            </w:r>
            <w:r w:rsidR="009B39F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run alongside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  <w:r w:rsidR="00652F9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Local Plan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review</w:t>
            </w:r>
            <w:r w:rsidR="00652F9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s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</w:p>
          <w:p w14:paraId="68A1A090" w14:textId="5E61303A" w:rsidR="00E87034" w:rsidRPr="00A50CD3" w:rsidRDefault="009B39F2" w:rsidP="00A50CD3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nable Local Plans to support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the delivery of the Oxfordshire Plan </w:t>
            </w:r>
          </w:p>
        </w:tc>
        <w:tc>
          <w:tcPr>
            <w:tcW w:w="1067" w:type="dxa"/>
            <w:shd w:val="clear" w:color="auto" w:fill="FFFFFF" w:themeFill="background1"/>
          </w:tcPr>
          <w:p w14:paraId="1B999845" w14:textId="4EE27AAA" w:rsidR="000C7F46" w:rsidRPr="009A64C9" w:rsidRDefault="00652F9E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High </w:t>
            </w:r>
          </w:p>
        </w:tc>
        <w:tc>
          <w:tcPr>
            <w:tcW w:w="3500" w:type="dxa"/>
            <w:shd w:val="clear" w:color="auto" w:fill="FFFFFF" w:themeFill="background1"/>
          </w:tcPr>
          <w:p w14:paraId="115F75FD" w14:textId="33B3E9EE" w:rsidR="00652F9E" w:rsidRDefault="00652F9E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Agree on work programme and the commissioning of joint evidence </w:t>
            </w:r>
          </w:p>
          <w:p w14:paraId="6E734E61" w14:textId="604824E5" w:rsidR="000C7F46" w:rsidRPr="009A64C9" w:rsidRDefault="00652F9E" w:rsidP="00652F9E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Update the Local Development Scheme to help 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inform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/steer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Local Plan review timescales </w:t>
            </w:r>
            <w:r w:rsidR="00356DDC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when appropriate 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A64C9" w:rsidRPr="009A64C9" w14:paraId="0AE2D8C4" w14:textId="77777777" w:rsidTr="00891D70">
        <w:tc>
          <w:tcPr>
            <w:tcW w:w="2122" w:type="dxa"/>
            <w:shd w:val="clear" w:color="auto" w:fill="FFFFFF" w:themeFill="background1"/>
          </w:tcPr>
          <w:p w14:paraId="38F1F05A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>Ensuring the duty to cooperate is demonstrated throughout the production of the plan</w:t>
            </w:r>
          </w:p>
          <w:p w14:paraId="349E7D8B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F4316F6" w14:textId="4ABC4879" w:rsidR="006A2A86" w:rsidRPr="009A64C9" w:rsidRDefault="00222B0E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Need to ensure compliance with 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statutory duty</w:t>
            </w:r>
          </w:p>
          <w:p w14:paraId="0BD4B090" w14:textId="34351749" w:rsidR="006A2A86" w:rsidRPr="009A64C9" w:rsidRDefault="00222B0E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Need to ensure effective plan making</w:t>
            </w:r>
          </w:p>
        </w:tc>
        <w:tc>
          <w:tcPr>
            <w:tcW w:w="1067" w:type="dxa"/>
            <w:shd w:val="clear" w:color="auto" w:fill="FFFFFF" w:themeFill="background1"/>
          </w:tcPr>
          <w:p w14:paraId="79864BF1" w14:textId="77777777" w:rsidR="006A2A86" w:rsidRPr="009A64C9" w:rsidRDefault="006A2A86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Low </w:t>
            </w:r>
          </w:p>
        </w:tc>
        <w:tc>
          <w:tcPr>
            <w:tcW w:w="3500" w:type="dxa"/>
            <w:shd w:val="clear" w:color="auto" w:fill="FFFFFF" w:themeFill="background1"/>
          </w:tcPr>
          <w:p w14:paraId="301C4F44" w14:textId="0F4C8B03" w:rsidR="006A2A86" w:rsidRPr="009A64C9" w:rsidRDefault="006A2A86" w:rsidP="006A2A86">
            <w:pPr>
              <w:numPr>
                <w:ilvl w:val="0"/>
                <w:numId w:val="1"/>
              </w:numPr>
              <w:ind w:left="281" w:hanging="318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Need to maintain a close working relationship with neighbouring authorities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and other prescribed bodies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.</w:t>
            </w:r>
          </w:p>
          <w:p w14:paraId="75B186E4" w14:textId="77777777" w:rsidR="00FE2603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Ensure 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prescribed bodies 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are 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continuously 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involved 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(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as outlined in the Statement of Community Involvement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)</w:t>
            </w:r>
          </w:p>
          <w:p w14:paraId="7C1348F5" w14:textId="6A666805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Prepare statements of common ground 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and 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a duty to cooperate </w:t>
            </w:r>
            <w:r w:rsidR="00222B0E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statement </w:t>
            </w:r>
          </w:p>
        </w:tc>
      </w:tr>
      <w:tr w:rsidR="009A64C9" w:rsidRPr="009A64C9" w14:paraId="0BF9FE79" w14:textId="77777777" w:rsidTr="00891D70">
        <w:tc>
          <w:tcPr>
            <w:tcW w:w="2122" w:type="dxa"/>
            <w:shd w:val="clear" w:color="auto" w:fill="FFFFFF" w:themeFill="background1"/>
          </w:tcPr>
          <w:p w14:paraId="3BA29120" w14:textId="1BB84F3B" w:rsidR="006A2A86" w:rsidRPr="009A64C9" w:rsidRDefault="00931E61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>Resourcing due to changes to personnel and/or</w:t>
            </w:r>
            <w:r w:rsidR="00891D70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 increased workload in response to  consultation responses and changes to policy or legal requirements </w:t>
            </w:r>
          </w:p>
        </w:tc>
        <w:tc>
          <w:tcPr>
            <w:tcW w:w="3260" w:type="dxa"/>
            <w:shd w:val="clear" w:color="auto" w:fill="FFFFFF" w:themeFill="background1"/>
          </w:tcPr>
          <w:p w14:paraId="124F7817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Availability of qualified and skilled planning officers with the required specialist knowledge</w:t>
            </w:r>
          </w:p>
          <w:p w14:paraId="24CAAB96" w14:textId="2BDC24FE" w:rsidR="00356DDC" w:rsidRPr="009A64C9" w:rsidRDefault="00356DDC" w:rsidP="00356DDC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Maintain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ing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 fully resourced team </w:t>
            </w:r>
          </w:p>
          <w:p w14:paraId="7A1C45ED" w14:textId="4A12F049" w:rsidR="00356DDC" w:rsidRDefault="00356DDC" w:rsidP="00931E61">
            <w:pPr>
              <w:numPr>
                <w:ilvl w:val="0"/>
                <w:numId w:val="1"/>
              </w:numPr>
              <w:ind w:left="287" w:hanging="287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Risk of overspend - costs of commissioning new technical evidence </w:t>
            </w:r>
          </w:p>
          <w:p w14:paraId="6C9BE27C" w14:textId="39C3A53C" w:rsidR="006A2A86" w:rsidRPr="009A64C9" w:rsidRDefault="00891D70" w:rsidP="00931E61">
            <w:pPr>
              <w:numPr>
                <w:ilvl w:val="0"/>
                <w:numId w:val="1"/>
              </w:numPr>
              <w:ind w:left="287" w:hanging="287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Risk of </w:t>
            </w:r>
            <w:r w:rsidR="00356DDC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timetable slippage </w:t>
            </w:r>
          </w:p>
        </w:tc>
        <w:tc>
          <w:tcPr>
            <w:tcW w:w="1067" w:type="dxa"/>
            <w:shd w:val="clear" w:color="auto" w:fill="FFFFFF" w:themeFill="background1"/>
          </w:tcPr>
          <w:p w14:paraId="334C9A0C" w14:textId="77777777" w:rsidR="006A2A86" w:rsidRPr="009A64C9" w:rsidRDefault="006A2A86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Medium  </w:t>
            </w:r>
          </w:p>
        </w:tc>
        <w:tc>
          <w:tcPr>
            <w:tcW w:w="3500" w:type="dxa"/>
            <w:shd w:val="clear" w:color="auto" w:fill="FFFFFF" w:themeFill="background1"/>
          </w:tcPr>
          <w:p w14:paraId="29271AB0" w14:textId="77777777" w:rsidR="00931E61" w:rsidRDefault="00931E61" w:rsidP="006A2A86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Sharing costs of preparing evidence </w:t>
            </w:r>
          </w:p>
          <w:p w14:paraId="1CBE8086" w14:textId="265BC1D0" w:rsidR="006A2A86" w:rsidRPr="009A64C9" w:rsidRDefault="006A2A86" w:rsidP="006A2A86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Consider use of consultants if financial resources allow </w:t>
            </w:r>
          </w:p>
          <w:p w14:paraId="53555711" w14:textId="0CE77B85" w:rsidR="006A2A86" w:rsidRPr="009A64C9" w:rsidRDefault="00356DDC" w:rsidP="006A2A86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Keep the timetable up to date and under regular review </w:t>
            </w:r>
            <w:r w:rsidR="006A2A86"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A64C9" w:rsidRPr="009A64C9" w14:paraId="2C9D31C5" w14:textId="77777777" w:rsidTr="00891D70">
        <w:tc>
          <w:tcPr>
            <w:tcW w:w="2122" w:type="dxa"/>
            <w:shd w:val="clear" w:color="auto" w:fill="FFFFFF" w:themeFill="background1"/>
          </w:tcPr>
          <w:p w14:paraId="10A40C86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Unknown impact of covid-19 pandemic, including future restrictions  </w:t>
            </w:r>
          </w:p>
          <w:p w14:paraId="00813CBC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03B9C8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Staff sickness / loss of support</w:t>
            </w:r>
          </w:p>
          <w:p w14:paraId="1EFB246C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Team morale </w:t>
            </w:r>
          </w:p>
          <w:p w14:paraId="23B0FE81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Lack of face-to-face engagement </w:t>
            </w:r>
          </w:p>
          <w:p w14:paraId="58206857" w14:textId="305FF1B9" w:rsidR="006A2A86" w:rsidRPr="009A64C9" w:rsidRDefault="00AD7AF3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Risk of </w:t>
            </w:r>
            <w:r w:rsidR="00356DDC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timetable slippage</w:t>
            </w:r>
          </w:p>
        </w:tc>
        <w:tc>
          <w:tcPr>
            <w:tcW w:w="1067" w:type="dxa"/>
            <w:shd w:val="clear" w:color="auto" w:fill="FFFFFF" w:themeFill="background1"/>
          </w:tcPr>
          <w:p w14:paraId="6E4FA466" w14:textId="77777777" w:rsidR="006A2A86" w:rsidRPr="009A64C9" w:rsidRDefault="006A2A86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Medium </w:t>
            </w:r>
          </w:p>
        </w:tc>
        <w:tc>
          <w:tcPr>
            <w:tcW w:w="3500" w:type="dxa"/>
            <w:shd w:val="clear" w:color="auto" w:fill="FFFFFF" w:themeFill="background1"/>
          </w:tcPr>
          <w:p w14:paraId="0062D23F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The team are set up to work from home, and most activities can be successfully carried out from home</w:t>
            </w:r>
          </w:p>
          <w:p w14:paraId="47F7D7E3" w14:textId="6BC9054B" w:rsidR="00AD7AF3" w:rsidRDefault="006A2A86" w:rsidP="006A2A86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Stakeholder engagement will be carried out online wherever possible</w:t>
            </w:r>
            <w:r w:rsidR="00CE70CD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but in accordance with the S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tatement of </w:t>
            </w:r>
            <w:r w:rsidR="00CE70CD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C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ommunity Involvement</w:t>
            </w:r>
          </w:p>
          <w:p w14:paraId="6A2871A8" w14:textId="62E65FA7" w:rsidR="006A2A86" w:rsidRPr="009A64C9" w:rsidRDefault="00CE70CD" w:rsidP="006A2A86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lastRenderedPageBreak/>
              <w:t>N</w:t>
            </w:r>
            <w:r w:rsidR="006A2A86"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ew and innovative ways of engag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ement will be employed.</w:t>
            </w:r>
          </w:p>
        </w:tc>
      </w:tr>
      <w:tr w:rsidR="009A64C9" w:rsidRPr="009A64C9" w14:paraId="4CB27B95" w14:textId="77777777" w:rsidTr="00891D70">
        <w:tc>
          <w:tcPr>
            <w:tcW w:w="2122" w:type="dxa"/>
            <w:shd w:val="clear" w:color="auto" w:fill="FFFFFF" w:themeFill="background1"/>
          </w:tcPr>
          <w:p w14:paraId="258B1E79" w14:textId="78B8EE11" w:rsidR="006A2A86" w:rsidRPr="009A64C9" w:rsidRDefault="00356DDC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lastRenderedPageBreak/>
              <w:t>Continuous and ongoing m</w:t>
            </w:r>
            <w:r w:rsidR="006A2A86"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>ember</w:t>
            </w:r>
            <w: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 and stakeholder</w:t>
            </w:r>
            <w:r w:rsidR="006A2A86"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 engagement </w:t>
            </w:r>
            <w: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to secure </w:t>
            </w:r>
            <w:r w:rsidR="00B122B4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sufficient </w:t>
            </w:r>
            <w:r w:rsidR="00B122B4"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>buy</w:t>
            </w:r>
            <w:r w:rsidR="006A2A86"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-in </w:t>
            </w:r>
          </w:p>
        </w:tc>
        <w:tc>
          <w:tcPr>
            <w:tcW w:w="3260" w:type="dxa"/>
            <w:shd w:val="clear" w:color="auto" w:fill="FFFFFF" w:themeFill="background1"/>
          </w:tcPr>
          <w:p w14:paraId="435D29F6" w14:textId="4CD4DD45" w:rsidR="006A2A86" w:rsidRDefault="00CE70CD" w:rsidP="004C3169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Need to ensure effective, coordinated and timely oversight and governance among the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six Oxfordshire authorities 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LPAs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, in view of long lead-in times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</w:p>
          <w:p w14:paraId="60DC13EA" w14:textId="525787DD" w:rsidR="00931E61" w:rsidRPr="009A64C9" w:rsidRDefault="00CE70CD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Need to achieve agreement of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key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partners at all key stages and on plan strategy and content </w:t>
            </w:r>
          </w:p>
        </w:tc>
        <w:tc>
          <w:tcPr>
            <w:tcW w:w="1067" w:type="dxa"/>
            <w:shd w:val="clear" w:color="auto" w:fill="FFFFFF" w:themeFill="background1"/>
          </w:tcPr>
          <w:p w14:paraId="75F4ECF8" w14:textId="77777777" w:rsidR="006A2A86" w:rsidRPr="009A64C9" w:rsidRDefault="006A2A86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Medium </w:t>
            </w:r>
          </w:p>
        </w:tc>
        <w:tc>
          <w:tcPr>
            <w:tcW w:w="3500" w:type="dxa"/>
            <w:shd w:val="clear" w:color="auto" w:fill="FFFFFF" w:themeFill="background1"/>
          </w:tcPr>
          <w:p w14:paraId="5033D4B0" w14:textId="79F7B5BE" w:rsidR="006A2A86" w:rsidRPr="009A64C9" w:rsidRDefault="006A2A86" w:rsidP="006A2A86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Regular updates on progress to Future Oxfordshire Partnership</w:t>
            </w:r>
          </w:p>
          <w:p w14:paraId="4D2915FB" w14:textId="77777777" w:rsidR="00931E61" w:rsidRPr="009A64C9" w:rsidRDefault="00931E61" w:rsidP="00931E61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Coordination of meetings </w:t>
            </w:r>
          </w:p>
          <w:p w14:paraId="5AADD215" w14:textId="77777777" w:rsidR="006A2692" w:rsidRDefault="006A2A86" w:rsidP="006A2692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Innovative use of online tools</w:t>
            </w:r>
          </w:p>
          <w:p w14:paraId="2DE8DB94" w14:textId="77777777" w:rsidR="006A2692" w:rsidRDefault="006A2A86" w:rsidP="006A2692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6A269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Hold joint collaborative workshops as part of ongoing engagement</w:t>
            </w:r>
          </w:p>
          <w:p w14:paraId="70302C41" w14:textId="3D7FD475" w:rsidR="006A2692" w:rsidRPr="006A2692" w:rsidRDefault="006A2692" w:rsidP="006A2692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6A269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Effective duty to cooperate discussions </w:t>
            </w:r>
          </w:p>
          <w:p w14:paraId="33AB463E" w14:textId="031EB7B9" w:rsidR="006A2A86" w:rsidRPr="009A64C9" w:rsidRDefault="006A2A86" w:rsidP="00FE2603">
            <w:pPr>
              <w:ind w:left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</w:p>
        </w:tc>
      </w:tr>
      <w:tr w:rsidR="009A64C9" w:rsidRPr="009A64C9" w14:paraId="170FD439" w14:textId="77777777" w:rsidTr="00891D70">
        <w:tc>
          <w:tcPr>
            <w:tcW w:w="2122" w:type="dxa"/>
            <w:shd w:val="clear" w:color="auto" w:fill="FFFFFF" w:themeFill="background1"/>
          </w:tcPr>
          <w:p w14:paraId="763BF2C5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Maintaining an up-to-date evidence base  </w:t>
            </w:r>
          </w:p>
          <w:p w14:paraId="74DD6221" w14:textId="77777777" w:rsidR="006A2A86" w:rsidRPr="009A64C9" w:rsidRDefault="006A2A86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C0A81D9" w14:textId="0CB8C4DA" w:rsidR="006A2A86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Interdependencies and sequencing </w:t>
            </w:r>
            <w:r w:rsidR="00931E61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- 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evidence feeds into other technical work</w:t>
            </w:r>
            <w:r w:rsidR="00931E61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(e.g. </w:t>
            </w: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modelling)</w:t>
            </w:r>
          </w:p>
          <w:p w14:paraId="27649AC4" w14:textId="08950585" w:rsidR="000834B7" w:rsidRPr="009A64C9" w:rsidRDefault="000834B7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Relationship with Local Plans</w:t>
            </w:r>
            <w:r w:rsidR="006F2278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and other development plans documents </w:t>
            </w:r>
          </w:p>
          <w:p w14:paraId="6A245764" w14:textId="77777777" w:rsidR="006A2A86" w:rsidRPr="009A64C9" w:rsidRDefault="006A2A86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Complexity of technical work </w:t>
            </w:r>
          </w:p>
          <w:p w14:paraId="2F714E57" w14:textId="5AC0FC3D" w:rsidR="006A2A86" w:rsidRPr="00B122B4" w:rsidRDefault="006A2A86" w:rsidP="00B122B4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Ensuring compliance with statutory requirements</w:t>
            </w:r>
          </w:p>
        </w:tc>
        <w:tc>
          <w:tcPr>
            <w:tcW w:w="1067" w:type="dxa"/>
            <w:shd w:val="clear" w:color="auto" w:fill="FFFFFF" w:themeFill="background1"/>
          </w:tcPr>
          <w:p w14:paraId="28D71AE0" w14:textId="77777777" w:rsidR="006A2A86" w:rsidRPr="009A64C9" w:rsidRDefault="006A2A86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Medium </w:t>
            </w:r>
          </w:p>
        </w:tc>
        <w:tc>
          <w:tcPr>
            <w:tcW w:w="3500" w:type="dxa"/>
            <w:shd w:val="clear" w:color="auto" w:fill="FFFFFF" w:themeFill="background1"/>
          </w:tcPr>
          <w:p w14:paraId="5F2ED0D9" w14:textId="77777777" w:rsidR="006A2A86" w:rsidRPr="009A64C9" w:rsidRDefault="006A2A86" w:rsidP="00E018C5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Evidence needs specialist advice from consultants</w:t>
            </w:r>
          </w:p>
          <w:p w14:paraId="220F0DFE" w14:textId="77777777" w:rsidR="006A2A86" w:rsidRPr="009A64C9" w:rsidRDefault="006A2A86" w:rsidP="00E018C5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Set up consultant summits to discuss sequencing of evidence</w:t>
            </w:r>
          </w:p>
          <w:p w14:paraId="36989819" w14:textId="77777777" w:rsidR="006A2A86" w:rsidRPr="009A64C9" w:rsidRDefault="006A2A86" w:rsidP="00E018C5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Prepare background papers </w:t>
            </w:r>
          </w:p>
        </w:tc>
      </w:tr>
      <w:tr w:rsidR="009A64C9" w:rsidRPr="009A64C9" w14:paraId="36AD4746" w14:textId="77777777" w:rsidTr="00891D70">
        <w:trPr>
          <w:trHeight w:val="85"/>
        </w:trPr>
        <w:tc>
          <w:tcPr>
            <w:tcW w:w="2122" w:type="dxa"/>
            <w:shd w:val="clear" w:color="auto" w:fill="FFFFFF" w:themeFill="background1"/>
          </w:tcPr>
          <w:p w14:paraId="554D39B7" w14:textId="65A6C651" w:rsidR="006A2A86" w:rsidRPr="009A64C9" w:rsidRDefault="00B122B4" w:rsidP="00EA45E9">
            <w:pP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b/>
                <w:bCs/>
                <w:sz w:val="20"/>
                <w:szCs w:val="20"/>
                <w:lang w:eastAsia="en-GB"/>
              </w:rPr>
              <w:t xml:space="preserve">Risk of timetable delays </w:t>
            </w:r>
          </w:p>
        </w:tc>
        <w:tc>
          <w:tcPr>
            <w:tcW w:w="3260" w:type="dxa"/>
            <w:shd w:val="clear" w:color="auto" w:fill="FFFFFF" w:themeFill="background1"/>
          </w:tcPr>
          <w:p w14:paraId="426A248E" w14:textId="2F0427CB" w:rsidR="000834B7" w:rsidRDefault="000834B7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Operational delay / management of the 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p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lan making process</w:t>
            </w:r>
            <w:r w:rsidR="006F2278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(e.g. governance arrangements)</w:t>
            </w:r>
            <w:r w:rsid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</w:p>
          <w:p w14:paraId="16603CA3" w14:textId="77777777" w:rsidR="00FE2603" w:rsidRDefault="000834B7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Achieving the agreement of</w:t>
            </w:r>
            <w:r w:rsidR="006F2278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the</w:t>
            </w:r>
            <w:r w:rsidRP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five</w:t>
            </w:r>
            <w:r w:rsidR="00AD7AF3" w:rsidRPr="00AD7AF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councils</w:t>
            </w:r>
          </w:p>
          <w:p w14:paraId="071E5602" w14:textId="0502F47D" w:rsidR="000834B7" w:rsidRDefault="000834B7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Ensuring a sound</w:t>
            </w:r>
            <w:r w:rsidR="002274D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and legally compliant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plan before progressing to </w:t>
            </w:r>
            <w:r w:rsidR="002274D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xamination</w:t>
            </w:r>
          </w:p>
          <w:p w14:paraId="571B2B7B" w14:textId="613B6268" w:rsidR="00B122B4" w:rsidRDefault="000834B7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Risk of </w:t>
            </w:r>
            <w:r w:rsidR="002274D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xamination delays</w:t>
            </w:r>
            <w:r w:rsidR="002274D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(e.g. </w:t>
            </w:r>
            <w:r w:rsidR="00FE260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appointment of planning inspector) </w:t>
            </w:r>
          </w:p>
          <w:p w14:paraId="60B68C0B" w14:textId="7AE20E5C" w:rsidR="00B122B4" w:rsidRDefault="006A2692" w:rsidP="006A2A86">
            <w:pPr>
              <w:numPr>
                <w:ilvl w:val="0"/>
                <w:numId w:val="1"/>
              </w:numPr>
              <w:ind w:left="266" w:hanging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Unexpectedly high volume of representations </w:t>
            </w:r>
          </w:p>
          <w:p w14:paraId="78567921" w14:textId="369ADD0A" w:rsidR="006A2A86" w:rsidRPr="006A2692" w:rsidRDefault="006A2A86" w:rsidP="00FE2603">
            <w:pPr>
              <w:ind w:left="266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2871D79B" w14:textId="23D69331" w:rsidR="006A2A86" w:rsidRPr="009A64C9" w:rsidRDefault="006A2A86" w:rsidP="00EA45E9">
            <w:pP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9A64C9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Medium </w:t>
            </w:r>
          </w:p>
        </w:tc>
        <w:tc>
          <w:tcPr>
            <w:tcW w:w="3500" w:type="dxa"/>
            <w:shd w:val="clear" w:color="auto" w:fill="FFFFFF" w:themeFill="background1"/>
          </w:tcPr>
          <w:p w14:paraId="74E32C21" w14:textId="4A20E0C7" w:rsidR="000834B7" w:rsidRDefault="000834B7" w:rsidP="00E018C5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Management structures and oversight</w:t>
            </w:r>
          </w:p>
          <w:p w14:paraId="6A5C169F" w14:textId="23D562EF" w:rsidR="000834B7" w:rsidRDefault="000834B7" w:rsidP="00E018C5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Close working among partner</w:t>
            </w:r>
            <w:r w:rsidR="009B39F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organisations </w:t>
            </w:r>
          </w:p>
          <w:p w14:paraId="06C167A4" w14:textId="3CBB954B" w:rsidR="00F17FB1" w:rsidRPr="00E018C5" w:rsidRDefault="000834B7" w:rsidP="00E018C5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Regular reports to </w:t>
            </w:r>
            <w:r w:rsidR="00504B9F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Future Oxfordshire Partnership</w:t>
            </w:r>
            <w:r w:rsidR="006A2A86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and </w:t>
            </w:r>
            <w:r w:rsidR="00504B9F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any </w:t>
            </w:r>
            <w:r w:rsidR="006A2A86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amendments made to the timetable</w:t>
            </w:r>
            <w:r w:rsidR="00504B9F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agreed with</w:t>
            </w:r>
            <w:r w:rsidR="00FE2603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the</w:t>
            </w:r>
            <w:r w:rsidR="00F17FB1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  <w:r w:rsidR="00F17FB1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fldChar w:fldCharType="begin"/>
            </w:r>
            <w:r w:rsidR="00F17FB1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instrText xml:space="preserve"> HYPERLINK "https://www.google.co.uk/url?sa=t&amp;rct=j&amp;q=&amp;esrc=s&amp;source=web&amp;cd=&amp;cad=rja&amp;uact=8&amp;ved=2ahUKEwi0j-nq4sr1AhWhoFwKHXX6CIgQ6F56BAgGEAE&amp;url=https%3A%2F%2Ftwitter.com%2Fluhc%3Fref_src%3Dtwsrc%255Egoogle%257Ctwcamp%255Eserp%257Ctwgr%255Eauthor&amp;usg=AOvVaw1KrfOGA8ClM7qMuVuXDRqq" </w:instrText>
            </w:r>
            <w:r w:rsidR="00F17FB1"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fldChar w:fldCharType="separate"/>
            </w:r>
          </w:p>
          <w:p w14:paraId="44B1C217" w14:textId="035B34B8" w:rsidR="00F17FB1" w:rsidRPr="00E018C5" w:rsidRDefault="00F17FB1" w:rsidP="00FE2603">
            <w:pPr>
              <w:ind w:left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Department for Levelling Up, Housing &amp; Communities</w:t>
            </w:r>
            <w:r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(DLUHC)</w:t>
            </w:r>
          </w:p>
          <w:p w14:paraId="084E15F7" w14:textId="074B69E5" w:rsidR="006A2A86" w:rsidRPr="006A2692" w:rsidRDefault="00F17FB1" w:rsidP="00E018C5">
            <w:pPr>
              <w:numPr>
                <w:ilvl w:val="0"/>
                <w:numId w:val="1"/>
              </w:numPr>
              <w:ind w:left="260" w:hanging="260"/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</w:pPr>
            <w:r w:rsidRPr="00E018C5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fldChar w:fldCharType="end"/>
            </w:r>
            <w:r w:rsidR="00B122B4" w:rsidRPr="006A269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Agree the</w:t>
            </w:r>
            <w:r w:rsidR="00891D70" w:rsidRPr="006A269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</w:t>
            </w:r>
            <w:r w:rsidR="00B122B4" w:rsidRPr="006A269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>examination timetable</w:t>
            </w:r>
            <w:r w:rsidR="00891D70" w:rsidRPr="006A2692">
              <w:rPr>
                <w:rFonts w:ascii="Nunito" w:eastAsia="Times New Roman" w:hAnsi="Nunito" w:cs="Noto Sans"/>
                <w:sz w:val="20"/>
                <w:szCs w:val="20"/>
                <w:lang w:eastAsia="en-GB"/>
              </w:rPr>
              <w:t xml:space="preserve"> with the Planning Inspectorate and appoint a programme officer to support the administration of the examination as early as possible  </w:t>
            </w:r>
          </w:p>
        </w:tc>
      </w:tr>
    </w:tbl>
    <w:p w14:paraId="2BF62617" w14:textId="3B0D721E" w:rsidR="00931E61" w:rsidRDefault="00931E61">
      <w:pPr>
        <w:rPr>
          <w:rFonts w:ascii="Nunito" w:hAnsi="Nunito"/>
          <w:highlight w:val="yellow"/>
        </w:rPr>
      </w:pPr>
    </w:p>
    <w:p w14:paraId="0DDFBC99" w14:textId="77777777" w:rsidR="001C3299" w:rsidRDefault="001C3299">
      <w:pPr>
        <w:rPr>
          <w:rFonts w:ascii="Nunito" w:hAnsi="Nunito"/>
          <w:highlight w:val="yellow"/>
        </w:rPr>
      </w:pPr>
    </w:p>
    <w:sectPr w:rsidR="001C3299" w:rsidSect="006A2A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C1E"/>
    <w:multiLevelType w:val="hybridMultilevel"/>
    <w:tmpl w:val="F3A21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E327A"/>
    <w:multiLevelType w:val="hybridMultilevel"/>
    <w:tmpl w:val="67FA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931D8"/>
    <w:multiLevelType w:val="hybridMultilevel"/>
    <w:tmpl w:val="16983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86"/>
    <w:rsid w:val="000834B7"/>
    <w:rsid w:val="000B4310"/>
    <w:rsid w:val="000C6E62"/>
    <w:rsid w:val="000C7F46"/>
    <w:rsid w:val="00133071"/>
    <w:rsid w:val="00182041"/>
    <w:rsid w:val="001A79A7"/>
    <w:rsid w:val="001C3299"/>
    <w:rsid w:val="00222B0E"/>
    <w:rsid w:val="002274D5"/>
    <w:rsid w:val="002A2BE1"/>
    <w:rsid w:val="00356DDC"/>
    <w:rsid w:val="003D6311"/>
    <w:rsid w:val="004000D7"/>
    <w:rsid w:val="00416AD7"/>
    <w:rsid w:val="00474D3A"/>
    <w:rsid w:val="004A5BD4"/>
    <w:rsid w:val="004E7C8E"/>
    <w:rsid w:val="00504B9F"/>
    <w:rsid w:val="00504E43"/>
    <w:rsid w:val="0065059D"/>
    <w:rsid w:val="00652B73"/>
    <w:rsid w:val="00652F9E"/>
    <w:rsid w:val="006A2692"/>
    <w:rsid w:val="006A2A86"/>
    <w:rsid w:val="006F2278"/>
    <w:rsid w:val="006F75B9"/>
    <w:rsid w:val="007908F4"/>
    <w:rsid w:val="007D04D8"/>
    <w:rsid w:val="00891D70"/>
    <w:rsid w:val="00930DE7"/>
    <w:rsid w:val="00931E61"/>
    <w:rsid w:val="009A64C9"/>
    <w:rsid w:val="009B1883"/>
    <w:rsid w:val="009B39F2"/>
    <w:rsid w:val="00A50CD3"/>
    <w:rsid w:val="00AD7AF3"/>
    <w:rsid w:val="00B122B4"/>
    <w:rsid w:val="00BE2FEB"/>
    <w:rsid w:val="00C04257"/>
    <w:rsid w:val="00CE6D6B"/>
    <w:rsid w:val="00CE70CD"/>
    <w:rsid w:val="00D469D7"/>
    <w:rsid w:val="00DB6367"/>
    <w:rsid w:val="00E018C5"/>
    <w:rsid w:val="00E17695"/>
    <w:rsid w:val="00E87034"/>
    <w:rsid w:val="00F17FB1"/>
    <w:rsid w:val="00F848CB"/>
    <w:rsid w:val="00FC5432"/>
    <w:rsid w:val="00FD3A85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0FD0"/>
  <w15:chartTrackingRefBased/>
  <w15:docId w15:val="{0E5AD417-4736-4982-B811-9F4E80D4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A2A86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6A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2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299"/>
  </w:style>
  <w:style w:type="paragraph" w:styleId="BalloonText">
    <w:name w:val="Balloon Text"/>
    <w:basedOn w:val="Normal"/>
    <w:link w:val="BalloonTextChar"/>
    <w:uiPriority w:val="99"/>
    <w:semiHidden/>
    <w:unhideWhenUsed/>
    <w:rsid w:val="0050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Wadsworth, Philip - Oxfordshire County Council</dc:creator>
  <cp:keywords/>
  <dc:description/>
  <cp:lastModifiedBy>Kevin</cp:lastModifiedBy>
  <cp:revision>2</cp:revision>
  <cp:lastPrinted>2022-01-20T11:02:00Z</cp:lastPrinted>
  <dcterms:created xsi:type="dcterms:W3CDTF">2022-01-25T11:14:00Z</dcterms:created>
  <dcterms:modified xsi:type="dcterms:W3CDTF">2022-01-25T11:14:00Z</dcterms:modified>
</cp:coreProperties>
</file>